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contextualSpacing w:val="1"/>
        <w:jc w:val="center"/>
      </w:pPr>
    </w:p>
    <w:p w14:paraId="02000000">
      <w:pPr>
        <w:widowControl w:val="1"/>
        <w:ind/>
        <w:contextualSpacing w:val="1"/>
        <w:jc w:val="center"/>
        <w:rPr>
          <w:sz w:val="10"/>
        </w:rPr>
      </w:pPr>
    </w:p>
    <w:tbl>
      <w:tblPr>
        <w:tblStyle w:val="Style_1"/>
        <w:tblW w:type="auto" w:w="0"/>
        <w:tblInd w:type="dxa" w:w="108"/>
        <w:tblBorders>
          <w:top w:color="000000" w:sz="4" w:val="single"/>
          <w:bottom w:color="000000" w:sz="4" w:val="single"/>
        </w:tblBorders>
        <w:tblLayout w:type="fixed"/>
      </w:tblPr>
      <w:tblGrid>
        <w:gridCol w:w="9711"/>
      </w:tblGrid>
      <w:tr>
        <w:tc>
          <w:tcPr>
            <w:tcW w:type="dxa" w:w="9711"/>
            <w:tcBorders>
              <w:top w:color="000000" w:sz="18" w:val="single"/>
              <w:bottom w:color="000000" w:sz="18" w:val="single"/>
            </w:tcBorders>
          </w:tcPr>
          <w:p w14:paraId="03000000">
            <w:pPr>
              <w:widowControl w:val="1"/>
              <w:ind/>
              <w:contextualSpacing w:val="1"/>
              <w:jc w:val="center"/>
              <w:rPr>
                <w:spacing w:val="-4"/>
                <w:sz w:val="20"/>
              </w:rPr>
            </w:pPr>
          </w:p>
          <w:p w14:paraId="04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-4"/>
                <w:sz w:val="56"/>
              </w:rPr>
              <w:t xml:space="preserve">П Р О К У Р А Т У Р А </w:t>
            </w:r>
          </w:p>
          <w:p w14:paraId="05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8"/>
              </w:rPr>
              <w:t>города Нижневартовска</w:t>
            </w:r>
          </w:p>
          <w:p w14:paraId="06000000">
            <w:pPr>
              <w:widowControl w:val="1"/>
              <w:ind/>
              <w:contextualSpacing w:val="1"/>
              <w:jc w:val="center"/>
              <w:rPr>
                <w:sz w:val="20"/>
              </w:rPr>
            </w:pPr>
          </w:p>
        </w:tc>
      </w:tr>
    </w:tbl>
    <w:p w14:paraId="07000000">
      <w:pPr>
        <w:widowControl w:val="1"/>
        <w:ind/>
        <w:jc w:val="center"/>
        <w:rPr>
          <w:b w:val="1"/>
          <w:color w:themeColor="text1" w:val="000000"/>
        </w:rPr>
      </w:pPr>
    </w:p>
    <w:p w14:paraId="08000000">
      <w:pPr>
        <w:widowControl w:val="1"/>
        <w:ind/>
        <w:contextualSpacing w:val="1"/>
        <w:jc w:val="center"/>
        <w:rPr>
          <w:b w:val="1"/>
          <w:color w:themeColor="text1" w:val="000000"/>
        </w:rPr>
      </w:pPr>
      <w:r>
        <w:rPr>
          <w:b w:val="1"/>
          <w:color w:themeColor="text1" w:val="000000"/>
        </w:rPr>
        <w:t>Ответственность за незаконное ношение форменной одежды</w:t>
      </w:r>
    </w:p>
    <w:p w14:paraId="09000000">
      <w:pPr>
        <w:widowControl w:val="1"/>
        <w:ind/>
        <w:contextualSpacing w:val="1"/>
        <w:jc w:val="center"/>
        <w:rPr>
          <w:b w:val="1"/>
          <w:color w:themeColor="text1" w:val="000000"/>
        </w:rPr>
      </w:pPr>
      <w:r>
        <w:rPr>
          <w:b w:val="1"/>
          <w:color w:themeColor="text1" w:val="000000"/>
        </w:rPr>
        <w:t>со знаками различия</w:t>
      </w:r>
    </w:p>
    <w:p w14:paraId="0A000000">
      <w:pPr>
        <w:widowControl w:val="1"/>
        <w:ind/>
        <w:contextualSpacing w:val="1"/>
        <w:jc w:val="both"/>
        <w:rPr>
          <w:b w:val="1"/>
          <w:color w:themeColor="text1" w:val="000000"/>
        </w:rPr>
      </w:pPr>
    </w:p>
    <w:p w14:paraId="0B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  <w:highlight w:val="white"/>
        </w:rPr>
        <w:t>Статьей 17.12 Кодекса об административных правонарушениях Российской Федерации предусмотрена ответственность за незаконно</w:t>
      </w:r>
      <w:bookmarkStart w:id="1" w:name="_GoBack"/>
      <w:bookmarkEnd w:id="1"/>
      <w:r>
        <w:rPr>
          <w:color w:themeColor="text1" w:val="000000"/>
          <w:highlight w:val="white"/>
        </w:rPr>
        <w:t>е ношение форменной одежды со знаками различия, с символикой государственных военизированных организаций, правоохранительных или контролирующих органов. Так, за вышеуказанные действия предусмотрено наложение административного штрафа с конфискацией форменной одежды, знаков различия и символики.</w:t>
      </w:r>
    </w:p>
    <w:p w14:paraId="0C000000">
      <w:pPr>
        <w:widowControl w:val="1"/>
        <w:ind w:firstLine="709"/>
        <w:contextualSpacing w:val="1"/>
        <w:jc w:val="both"/>
        <w:rPr>
          <w:b w:val="1"/>
          <w:color w:themeColor="text1" w:val="000000"/>
        </w:rPr>
      </w:pPr>
      <w:r>
        <w:rPr>
          <w:color w:themeColor="text1" w:val="000000"/>
          <w:highlight w:val="white"/>
        </w:rPr>
        <w:t>В случае, если действия совершены лицом, имеющим специальное разрешение на осуществление частной детективной или охранной деятельности, в связи с осуществлением своих полномочий, размер штрафа взимается в повышенном размере. Форменная одежда, знаки различия, символика государственных военизированных организаций, правоохранительных или контролирующих органов также подлежат конфискации.</w:t>
      </w:r>
    </w:p>
    <w:p w14:paraId="0D000000">
      <w:pPr>
        <w:widowControl w:val="1"/>
        <w:ind/>
        <w:contextualSpacing w:val="1"/>
        <w:jc w:val="both"/>
        <w:rPr>
          <w:color w:themeColor="text1" w:val="000000"/>
        </w:rPr>
      </w:pPr>
    </w:p>
    <w:p w14:paraId="0E000000">
      <w:pPr>
        <w:widowControl w:val="1"/>
        <w:ind/>
        <w:jc w:val="both"/>
      </w:pPr>
      <w:r>
        <w:t xml:space="preserve">Пресс-служба </w:t>
      </w:r>
    </w:p>
    <w:p w14:paraId="0F000000">
      <w:pPr>
        <w:widowControl w:val="1"/>
        <w:ind/>
        <w:jc w:val="both"/>
      </w:pPr>
      <w:r>
        <w:t>Прокуратуры г. Нижневартовска</w:t>
      </w:r>
    </w:p>
    <w:p w14:paraId="10000000">
      <w:pPr>
        <w:widowControl w:val="1"/>
        <w:ind/>
        <w:jc w:val="both"/>
        <w:rPr>
          <w:b w:val="1"/>
          <w:sz w:val="20"/>
        </w:rPr>
      </w:pPr>
      <w:r>
        <w:rPr>
          <w:b w:val="1"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11000000">
      <w:pPr>
        <w:widowControl w:val="1"/>
        <w:spacing w:line="240" w:lineRule="exact"/>
        <w:ind/>
        <w:jc w:val="both"/>
        <w:rPr>
          <w:b w:val="1"/>
        </w:rPr>
      </w:pPr>
    </w:p>
    <w:p w14:paraId="12000000">
      <w:pPr>
        <w:widowControl w:val="1"/>
        <w:spacing w:line="240" w:lineRule="exact"/>
        <w:ind/>
        <w:jc w:val="both"/>
        <w:rPr>
          <w:b w:val="1"/>
        </w:rPr>
      </w:pPr>
      <w:r>
        <w:rPr>
          <w:b w:val="1"/>
        </w:rPr>
        <w:t>СОГЛАСОВАНО:</w:t>
      </w:r>
    </w:p>
    <w:p w14:paraId="13000000">
      <w:pPr>
        <w:widowControl w:val="1"/>
        <w:spacing w:line="240" w:lineRule="exact"/>
        <w:ind/>
        <w:jc w:val="both"/>
        <w:rPr>
          <w:b w:val="1"/>
          <w:sz w:val="20"/>
        </w:rPr>
      </w:pPr>
    </w:p>
    <w:p w14:paraId="14000000">
      <w:pPr>
        <w:widowControl w:val="1"/>
        <w:spacing w:line="240" w:lineRule="exact"/>
        <w:ind/>
        <w:jc w:val="both"/>
        <w:rPr>
          <w:b w:val="1"/>
          <w:sz w:val="20"/>
        </w:rPr>
      </w:pPr>
      <w:r>
        <w:rPr>
          <w:b w:val="1"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</w:r>
      <w:r>
        <w:t xml:space="preserve">     А.В. Еременко</w:t>
      </w:r>
    </w:p>
    <w:p w14:paraId="15000000">
      <w:pPr>
        <w:rPr>
          <w:sz w:val="20"/>
        </w:rPr>
      </w:pPr>
    </w:p>
    <w:p w14:paraId="16000000">
      <w:pPr>
        <w:rPr>
          <w:sz w:val="20"/>
        </w:rPr>
      </w:pPr>
    </w:p>
    <w:p w14:paraId="17000000">
      <w:pPr>
        <w:rPr>
          <w:sz w:val="20"/>
        </w:rPr>
      </w:pPr>
    </w:p>
    <w:p w14:paraId="18000000">
      <w:pPr>
        <w:rPr>
          <w:sz w:val="20"/>
        </w:rPr>
      </w:pPr>
    </w:p>
    <w:p w14:paraId="19000000">
      <w:pPr>
        <w:rPr>
          <w:sz w:val="20"/>
        </w:rPr>
      </w:pPr>
    </w:p>
    <w:p w14:paraId="1A000000">
      <w:pPr>
        <w:rPr>
          <w:sz w:val="20"/>
        </w:rPr>
      </w:pPr>
    </w:p>
    <w:p w14:paraId="1B000000">
      <w:pPr>
        <w:rPr>
          <w:sz w:val="20"/>
        </w:rPr>
      </w:pPr>
    </w:p>
    <w:p w14:paraId="1C000000">
      <w:pPr>
        <w:rPr>
          <w:sz w:val="20"/>
        </w:rPr>
      </w:pPr>
    </w:p>
    <w:p w14:paraId="1D000000">
      <w:pPr>
        <w:rPr>
          <w:sz w:val="20"/>
        </w:rPr>
      </w:pPr>
    </w:p>
    <w:p w14:paraId="1E000000">
      <w:pPr>
        <w:rPr>
          <w:sz w:val="20"/>
        </w:rPr>
      </w:pPr>
    </w:p>
    <w:p w14:paraId="1F000000">
      <w:pPr>
        <w:rPr>
          <w:sz w:val="20"/>
        </w:rPr>
      </w:pPr>
    </w:p>
    <w:p w14:paraId="20000000">
      <w:pPr>
        <w:rPr>
          <w:sz w:val="20"/>
        </w:rPr>
      </w:pPr>
    </w:p>
    <w:p w14:paraId="21000000">
      <w:pPr>
        <w:rPr>
          <w:sz w:val="20"/>
        </w:rPr>
      </w:pPr>
    </w:p>
    <w:p w14:paraId="22000000">
      <w:pPr>
        <w:rPr>
          <w:sz w:val="20"/>
        </w:rPr>
      </w:pPr>
    </w:p>
    <w:p w14:paraId="23000000">
      <w:pPr>
        <w:rPr>
          <w:sz w:val="20"/>
        </w:rPr>
      </w:pPr>
    </w:p>
    <w:p w14:paraId="24000000">
      <w:pPr>
        <w:rPr>
          <w:sz w:val="20"/>
        </w:rPr>
      </w:pPr>
    </w:p>
    <w:p w14:paraId="25000000">
      <w:pPr>
        <w:rPr>
          <w:sz w:val="20"/>
        </w:rPr>
      </w:pPr>
    </w:p>
    <w:p w14:paraId="26000000">
      <w:pPr>
        <w:rPr>
          <w:sz w:val="20"/>
        </w:rPr>
      </w:pPr>
    </w:p>
    <w:p w14:paraId="27000000">
      <w:pPr>
        <w:rPr>
          <w:sz w:val="20"/>
        </w:rPr>
      </w:pPr>
      <w:r>
        <w:rPr>
          <w:sz w:val="20"/>
        </w:rPr>
        <w:t xml:space="preserve">Д.О. </w:t>
      </w:r>
      <w:r>
        <w:rPr>
          <w:sz w:val="20"/>
        </w:rPr>
        <w:t>Колосницын</w:t>
      </w:r>
      <w:r>
        <w:rPr>
          <w:sz w:val="20"/>
        </w:rPr>
        <w:t>, тел. 49-89-19</w:t>
      </w:r>
    </w:p>
    <w:sectPr>
      <w:pgSz w:h="16838" w:orient="portrait" w:w="11906"/>
      <w:pgMar w:bottom="1276" w:footer="709" w:gutter="0" w:header="709" w:left="1418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feeds-page__navigation_tooltip"/>
    <w:basedOn w:val="Style_7"/>
    <w:link w:val="Style_6_ch"/>
  </w:style>
  <w:style w:styleId="Style_6_ch" w:type="character">
    <w:name w:val="feeds-page__navigation_tooltip"/>
    <w:basedOn w:val="Style_7_ch"/>
    <w:link w:val="Style_6"/>
  </w:style>
  <w:style w:styleId="Style_8" w:type="paragraph">
    <w:name w:val="toc 7"/>
    <w:next w:val="Style_2"/>
    <w:link w:val="Style_8_ch"/>
    <w:uiPriority w:val="39"/>
    <w:pPr>
      <w:widowControl w:val="1"/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Body Text Indent"/>
    <w:basedOn w:val="Style_2"/>
    <w:link w:val="Style_11_ch"/>
    <w:pPr>
      <w:widowControl w:val="1"/>
      <w:ind w:firstLine="709"/>
      <w:jc w:val="both"/>
    </w:pPr>
  </w:style>
  <w:style w:styleId="Style_11_ch" w:type="character">
    <w:name w:val="Body Text Indent"/>
    <w:basedOn w:val="Style_2_ch"/>
    <w:link w:val="Style_11"/>
  </w:style>
  <w:style w:styleId="Style_12" w:type="paragraph">
    <w:name w:val="List Paragraph"/>
    <w:basedOn w:val="Style_2"/>
    <w:link w:val="Style_12_ch"/>
    <w:pPr>
      <w:widowControl w:val="1"/>
      <w:spacing w:after="200" w:line="276" w:lineRule="auto"/>
      <w:ind w:left="720"/>
      <w:contextualSpacing w:val="1"/>
    </w:pPr>
    <w:rPr>
      <w:rFonts w:asciiTheme="minorAscii" w:hAnsiTheme="minorHAnsi"/>
      <w:sz w:val="22"/>
    </w:rPr>
  </w:style>
  <w:style w:styleId="Style_12_ch" w:type="character">
    <w:name w:val="List Paragraph"/>
    <w:basedOn w:val="Style_2_ch"/>
    <w:link w:val="Style_12"/>
    <w:rPr>
      <w:rFonts w:asciiTheme="minorAscii" w:hAnsiTheme="minorHAnsi"/>
      <w:sz w:val="22"/>
    </w:rPr>
  </w:style>
  <w:style w:styleId="Style_7" w:type="paragraph">
    <w:name w:val="Основной шрифт абзаца1"/>
    <w:link w:val="Style_7_ch"/>
  </w:style>
  <w:style w:styleId="Style_7_ch" w:type="character">
    <w:name w:val="Основной шрифт абзаца1"/>
    <w:link w:val="Style_7"/>
  </w:style>
  <w:style w:styleId="Style_13" w:type="paragraph">
    <w:name w:val="Гиперссылка1"/>
    <w:link w:val="Style_13_ch"/>
    <w:rPr>
      <w:color w:val="0000FF"/>
      <w:u w:val="single"/>
    </w:rPr>
  </w:style>
  <w:style w:styleId="Style_13_ch" w:type="character">
    <w:name w:val="Гиперссылка1"/>
    <w:link w:val="Style_13"/>
    <w:rPr>
      <w:color w:val="0000FF"/>
      <w:u w:val="single"/>
    </w:rPr>
  </w:style>
  <w:style w:styleId="Style_14" w:type="paragraph">
    <w:name w:val="toc 3"/>
    <w:next w:val="Style_2"/>
    <w:link w:val="Style_14_ch"/>
    <w:uiPriority w:val="39"/>
    <w:pPr>
      <w:widowControl w:val="1"/>
      <w:ind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Обычный1"/>
    <w:link w:val="Style_15_ch"/>
    <w:rPr>
      <w:rFonts w:ascii="Times New Roman" w:hAnsi="Times New Roman"/>
      <w:sz w:val="28"/>
    </w:rPr>
  </w:style>
  <w:style w:styleId="Style_15_ch" w:type="character">
    <w:name w:val="Обычный1"/>
    <w:link w:val="Style_15"/>
    <w:rPr>
      <w:rFonts w:ascii="Times New Roman" w:hAnsi="Times New Roman"/>
      <w:sz w:val="28"/>
    </w:rPr>
  </w:style>
  <w:style w:styleId="Style_16" w:type="paragraph">
    <w:name w:val="Balloon Text"/>
    <w:basedOn w:val="Style_2"/>
    <w:link w:val="Style_16_ch"/>
    <w:rPr>
      <w:rFonts w:ascii="Segoe UI" w:hAnsi="Segoe UI"/>
      <w:sz w:val="18"/>
    </w:rPr>
  </w:style>
  <w:style w:styleId="Style_16_ch" w:type="character">
    <w:name w:val="Balloon Text"/>
    <w:basedOn w:val="Style_2_ch"/>
    <w:link w:val="Style_16"/>
    <w:rPr>
      <w:rFonts w:ascii="Segoe UI" w:hAnsi="Segoe UI"/>
      <w:sz w:val="18"/>
    </w:rPr>
  </w:style>
  <w:style w:styleId="Style_17" w:type="paragraph">
    <w:name w:val="heading 5"/>
    <w:next w:val="Style_2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basedOn w:val="Style_2"/>
    <w:link w:val="Style_18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8_ch" w:type="character">
    <w:name w:val="heading 1"/>
    <w:basedOn w:val="Style_2_ch"/>
    <w:link w:val="Style_18"/>
    <w:rPr>
      <w:b w:val="1"/>
      <w:sz w:val="48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2"/>
    <w:link w:val="Style_21_ch"/>
    <w:uiPriority w:val="39"/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Normal (Web)"/>
    <w:basedOn w:val="Style_2"/>
    <w:link w:val="Style_23_ch"/>
    <w:pPr>
      <w:widowControl w:val="1"/>
      <w:spacing w:afterAutospacing="on" w:beforeAutospacing="on"/>
      <w:ind/>
    </w:pPr>
    <w:rPr>
      <w:sz w:val="24"/>
    </w:rPr>
  </w:style>
  <w:style w:styleId="Style_23_ch" w:type="character">
    <w:name w:val="Normal (Web)"/>
    <w:basedOn w:val="Style_2_ch"/>
    <w:link w:val="Style_23"/>
    <w:rPr>
      <w:sz w:val="24"/>
    </w:rPr>
  </w:style>
  <w:style w:styleId="Style_24" w:type="paragraph">
    <w:name w:val="toc 9"/>
    <w:next w:val="Style_2"/>
    <w:link w:val="Style_24_ch"/>
    <w:uiPriority w:val="39"/>
    <w:pPr>
      <w:widowControl w:val="1"/>
      <w:ind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Body Text 3"/>
    <w:basedOn w:val="Style_2"/>
    <w:link w:val="Style_25_ch"/>
    <w:pPr>
      <w:widowControl w:val="1"/>
      <w:spacing w:after="120"/>
      <w:ind/>
    </w:pPr>
    <w:rPr>
      <w:sz w:val="16"/>
    </w:rPr>
  </w:style>
  <w:style w:styleId="Style_25_ch" w:type="character">
    <w:name w:val="Body Text 3"/>
    <w:basedOn w:val="Style_2_ch"/>
    <w:link w:val="Style_25"/>
    <w:rPr>
      <w:sz w:val="16"/>
    </w:rPr>
  </w:style>
  <w:style w:styleId="Style_26" w:type="paragraph">
    <w:name w:val="toc 8"/>
    <w:next w:val="Style_2"/>
    <w:link w:val="Style_26_ch"/>
    <w:uiPriority w:val="39"/>
    <w:pPr>
      <w:widowControl w:val="1"/>
      <w:ind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No Spacing"/>
    <w:link w:val="Style_27_ch"/>
    <w:rPr>
      <w:sz w:val="22"/>
    </w:rPr>
  </w:style>
  <w:style w:styleId="Style_27_ch" w:type="character">
    <w:name w:val="No Spacing"/>
    <w:link w:val="Style_27"/>
    <w:rPr>
      <w:sz w:val="22"/>
    </w:rPr>
  </w:style>
  <w:style w:styleId="Style_28" w:type="paragraph">
    <w:name w:val="toc 5"/>
    <w:next w:val="Style_2"/>
    <w:link w:val="Style_28_ch"/>
    <w:uiPriority w:val="39"/>
    <w:pPr>
      <w:widowControl w:val="1"/>
      <w:ind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Основной текст2"/>
    <w:basedOn w:val="Style_2"/>
    <w:link w:val="Style_29_ch"/>
    <w:pPr>
      <w:widowControl w:val="1"/>
      <w:spacing w:line="245" w:lineRule="exact"/>
      <w:ind/>
    </w:pPr>
    <w:rPr>
      <w:rFonts w:ascii="Sylfaen" w:hAnsi="Sylfaen"/>
      <w:sz w:val="25"/>
    </w:rPr>
  </w:style>
  <w:style w:styleId="Style_29_ch" w:type="character">
    <w:name w:val="Основной текст2"/>
    <w:basedOn w:val="Style_2_ch"/>
    <w:link w:val="Style_29"/>
    <w:rPr>
      <w:rFonts w:ascii="Sylfaen" w:hAnsi="Sylfaen"/>
      <w:sz w:val="25"/>
    </w:rPr>
  </w:style>
  <w:style w:styleId="Style_30" w:type="paragraph">
    <w:name w:val="Subtitle"/>
    <w:next w:val="Style_2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2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Default Paragraph Font"/>
    <w:link w:val="Style_33_ch"/>
  </w:style>
  <w:style w:styleId="Style_33_ch" w:type="character">
    <w:name w:val="Default Paragraph Font"/>
    <w:link w:val="Style_33"/>
  </w:style>
  <w:style w:styleId="Style_34" w:type="paragraph">
    <w:name w:val="heading 2"/>
    <w:next w:val="Style_2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table">
    <w:name w:val="Table Grid"/>
    <w:basedOn w:val="Style_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2024-04-14T21:32:00Z</dcterms:created>
  <dcterms:modified xsi:type="dcterms:W3CDTF">2026-10-29T05:30:38Z</dcterms:modified>
</cp:coreProperties>
</file>